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35C3" w14:textId="77777777" w:rsidR="00843AD9" w:rsidRDefault="00000000">
      <w:pPr>
        <w:pStyle w:val="Heading1"/>
      </w:pPr>
      <w:r>
        <w:t>Partnership quality: single-point rubric for reflection and discussion</w:t>
      </w:r>
    </w:p>
    <w:p w14:paraId="0E266E7C" w14:textId="77777777" w:rsidR="00B24692" w:rsidRDefault="00B24692"/>
    <w:p w14:paraId="5199406C" w14:textId="07100F45" w:rsidR="00843AD9" w:rsidRDefault="00000000">
      <w:r>
        <w:t>This rubric is designed to support teams and organisations in reflecting on the quality of their partnerships. It provides a structure for open-ended dialogue and joint learning, not scoring. Each dimension includes a description of good practice, reflection prompts, and space for team insights. Use this tool to foster inclusive discussion, deepen shared understanding, and guide action.</w:t>
      </w:r>
    </w:p>
    <w:p w14:paraId="22039A12" w14:textId="77777777" w:rsidR="00A64656" w:rsidRDefault="00A64656"/>
    <w:tbl>
      <w:tblPr>
        <w:tblStyle w:val="TableGrid"/>
        <w:tblW w:w="0" w:type="auto"/>
        <w:tblLook w:val="04A0" w:firstRow="1" w:lastRow="0" w:firstColumn="1" w:lastColumn="0" w:noHBand="0" w:noVBand="1"/>
      </w:tblPr>
      <w:tblGrid>
        <w:gridCol w:w="2158"/>
        <w:gridCol w:w="2157"/>
        <w:gridCol w:w="2158"/>
        <w:gridCol w:w="2157"/>
      </w:tblGrid>
      <w:tr w:rsidR="00843AD9" w14:paraId="615D0A22" w14:textId="77777777" w:rsidTr="006A517B">
        <w:tc>
          <w:tcPr>
            <w:tcW w:w="2160" w:type="dxa"/>
            <w:shd w:val="clear" w:color="auto" w:fill="D6E3BC" w:themeFill="accent3" w:themeFillTint="66"/>
          </w:tcPr>
          <w:p w14:paraId="7F494D1E" w14:textId="77777777" w:rsidR="00843AD9" w:rsidRDefault="00000000">
            <w:r>
              <w:t>Dimension</w:t>
            </w:r>
          </w:p>
        </w:tc>
        <w:tc>
          <w:tcPr>
            <w:tcW w:w="2160" w:type="dxa"/>
            <w:shd w:val="clear" w:color="auto" w:fill="D6E3BC" w:themeFill="accent3" w:themeFillTint="66"/>
          </w:tcPr>
          <w:p w14:paraId="3A206897" w14:textId="77777777" w:rsidR="00843AD9" w:rsidRDefault="00000000">
            <w:r>
              <w:t>What good might look like</w:t>
            </w:r>
          </w:p>
        </w:tc>
        <w:tc>
          <w:tcPr>
            <w:tcW w:w="2160" w:type="dxa"/>
            <w:shd w:val="clear" w:color="auto" w:fill="D6E3BC" w:themeFill="accent3" w:themeFillTint="66"/>
          </w:tcPr>
          <w:p w14:paraId="085949E4" w14:textId="77777777" w:rsidR="00843AD9" w:rsidRDefault="00000000">
            <w:r>
              <w:t>Reflection prompts</w:t>
            </w:r>
          </w:p>
        </w:tc>
        <w:tc>
          <w:tcPr>
            <w:tcW w:w="2160" w:type="dxa"/>
            <w:shd w:val="clear" w:color="auto" w:fill="D6E3BC" w:themeFill="accent3" w:themeFillTint="66"/>
          </w:tcPr>
          <w:p w14:paraId="64746BEB" w14:textId="77777777" w:rsidR="00843AD9" w:rsidRDefault="00000000">
            <w:r>
              <w:t>Team insight / self-assessment</w:t>
            </w:r>
          </w:p>
        </w:tc>
      </w:tr>
      <w:tr w:rsidR="00843AD9" w14:paraId="15B86CA1" w14:textId="77777777" w:rsidTr="006A517B">
        <w:tc>
          <w:tcPr>
            <w:tcW w:w="2160" w:type="dxa"/>
            <w:shd w:val="clear" w:color="auto" w:fill="D6E3BC" w:themeFill="accent3" w:themeFillTint="66"/>
          </w:tcPr>
          <w:p w14:paraId="495AAC8B" w14:textId="77777777" w:rsidR="00843AD9" w:rsidRDefault="00000000">
            <w:r>
              <w:t>Shared purpose</w:t>
            </w:r>
          </w:p>
        </w:tc>
        <w:tc>
          <w:tcPr>
            <w:tcW w:w="2160" w:type="dxa"/>
          </w:tcPr>
          <w:p w14:paraId="369A2371" w14:textId="77777777" w:rsidR="00843AD9" w:rsidRDefault="00000000">
            <w:r>
              <w:t>The partnership has a clearly articulated shared purpose that guides action and decision-making.</w:t>
            </w:r>
          </w:p>
        </w:tc>
        <w:tc>
          <w:tcPr>
            <w:tcW w:w="2160" w:type="dxa"/>
          </w:tcPr>
          <w:p w14:paraId="524E82D0" w14:textId="77777777" w:rsidR="00843AD9" w:rsidRDefault="00000000">
            <w:r>
              <w:t>How well do we agree on our core purpose? How does it show up in our work?</w:t>
            </w:r>
          </w:p>
        </w:tc>
        <w:tc>
          <w:tcPr>
            <w:tcW w:w="2160" w:type="dxa"/>
          </w:tcPr>
          <w:p w14:paraId="28FD3A75" w14:textId="77777777" w:rsidR="00843AD9" w:rsidRDefault="00000000">
            <w:r>
              <w:t>Describe an example where this purpose guided action, and one where it wasn’t clear.</w:t>
            </w:r>
          </w:p>
        </w:tc>
      </w:tr>
      <w:tr w:rsidR="00843AD9" w14:paraId="393B5F1C" w14:textId="77777777" w:rsidTr="006A517B">
        <w:tc>
          <w:tcPr>
            <w:tcW w:w="2160" w:type="dxa"/>
            <w:shd w:val="clear" w:color="auto" w:fill="D6E3BC" w:themeFill="accent3" w:themeFillTint="66"/>
          </w:tcPr>
          <w:p w14:paraId="5F2C12F6" w14:textId="77777777" w:rsidR="00843AD9" w:rsidRDefault="00000000">
            <w:r>
              <w:t>Trust and relationships</w:t>
            </w:r>
          </w:p>
        </w:tc>
        <w:tc>
          <w:tcPr>
            <w:tcW w:w="2160" w:type="dxa"/>
          </w:tcPr>
          <w:p w14:paraId="38E0433B" w14:textId="77777777" w:rsidR="00843AD9" w:rsidRDefault="00000000">
            <w:r>
              <w:t>Partners act with integrity, listen actively, and demonstrate mutual respect. Trust is built and maintained over time.</w:t>
            </w:r>
          </w:p>
        </w:tc>
        <w:tc>
          <w:tcPr>
            <w:tcW w:w="2160" w:type="dxa"/>
          </w:tcPr>
          <w:p w14:paraId="0E7FFC70" w14:textId="77777777" w:rsidR="00843AD9" w:rsidRDefault="00000000">
            <w:r>
              <w:t>Where do we see trust working well? Where has it been challenged?</w:t>
            </w:r>
          </w:p>
        </w:tc>
        <w:tc>
          <w:tcPr>
            <w:tcW w:w="2160" w:type="dxa"/>
          </w:tcPr>
          <w:p w14:paraId="5F040B89" w14:textId="77777777" w:rsidR="00843AD9" w:rsidRDefault="00000000">
            <w:r>
              <w:t>Share a moment of strong partnership trust, and a time it felt strained.</w:t>
            </w:r>
          </w:p>
        </w:tc>
      </w:tr>
      <w:tr w:rsidR="00843AD9" w14:paraId="1251BB4D" w14:textId="77777777" w:rsidTr="006A517B">
        <w:tc>
          <w:tcPr>
            <w:tcW w:w="2160" w:type="dxa"/>
            <w:shd w:val="clear" w:color="auto" w:fill="D6E3BC" w:themeFill="accent3" w:themeFillTint="66"/>
          </w:tcPr>
          <w:p w14:paraId="35BC94EE" w14:textId="77777777" w:rsidR="00843AD9" w:rsidRDefault="00000000">
            <w:r>
              <w:t>Communication</w:t>
            </w:r>
          </w:p>
        </w:tc>
        <w:tc>
          <w:tcPr>
            <w:tcW w:w="2160" w:type="dxa"/>
          </w:tcPr>
          <w:p w14:paraId="1EAA4D8C" w14:textId="77777777" w:rsidR="00843AD9" w:rsidRDefault="00000000">
            <w:r>
              <w:t>Information is shared openly and appropriately. Communication channels are timely, inclusive, and support collective understanding.</w:t>
            </w:r>
          </w:p>
        </w:tc>
        <w:tc>
          <w:tcPr>
            <w:tcW w:w="2160" w:type="dxa"/>
          </w:tcPr>
          <w:p w14:paraId="066DBA98" w14:textId="77777777" w:rsidR="00843AD9" w:rsidRDefault="00000000">
            <w:r>
              <w:t>How well are we communicating? Are we hearing all voices?</w:t>
            </w:r>
          </w:p>
        </w:tc>
        <w:tc>
          <w:tcPr>
            <w:tcW w:w="2160" w:type="dxa"/>
          </w:tcPr>
          <w:p w14:paraId="3A9C1EAE" w14:textId="77777777" w:rsidR="00843AD9" w:rsidRDefault="00000000">
            <w:r>
              <w:t>Give an example of communication that worked well, and one that caused confusion or exclusion.</w:t>
            </w:r>
          </w:p>
        </w:tc>
      </w:tr>
      <w:tr w:rsidR="00843AD9" w14:paraId="034F0AB4" w14:textId="77777777" w:rsidTr="006A517B">
        <w:tc>
          <w:tcPr>
            <w:tcW w:w="2160" w:type="dxa"/>
            <w:shd w:val="clear" w:color="auto" w:fill="D6E3BC" w:themeFill="accent3" w:themeFillTint="66"/>
          </w:tcPr>
          <w:p w14:paraId="648B3464" w14:textId="77777777" w:rsidR="00843AD9" w:rsidRDefault="00000000">
            <w:r>
              <w:t>Decision-making</w:t>
            </w:r>
          </w:p>
        </w:tc>
        <w:tc>
          <w:tcPr>
            <w:tcW w:w="2160" w:type="dxa"/>
          </w:tcPr>
          <w:p w14:paraId="4B65BBBE" w14:textId="77777777" w:rsidR="00843AD9" w:rsidRDefault="00000000">
            <w:r>
              <w:t>Decisions are made transparently, with agreed processes that include relevant voices.</w:t>
            </w:r>
          </w:p>
        </w:tc>
        <w:tc>
          <w:tcPr>
            <w:tcW w:w="2160" w:type="dxa"/>
          </w:tcPr>
          <w:p w14:paraId="18E03294" w14:textId="77777777" w:rsidR="00843AD9" w:rsidRDefault="00000000">
            <w:r>
              <w:t>Who is involved in decisions? How do we handle disagreement?</w:t>
            </w:r>
          </w:p>
        </w:tc>
        <w:tc>
          <w:tcPr>
            <w:tcW w:w="2160" w:type="dxa"/>
          </w:tcPr>
          <w:p w14:paraId="6C012756" w14:textId="77777777" w:rsidR="00843AD9" w:rsidRDefault="00000000">
            <w:r>
              <w:t>Reflect on a decision-making process that felt inclusive, and one that needs improvement.</w:t>
            </w:r>
          </w:p>
        </w:tc>
      </w:tr>
      <w:tr w:rsidR="00843AD9" w14:paraId="52F2EDD6" w14:textId="77777777" w:rsidTr="006A517B">
        <w:tc>
          <w:tcPr>
            <w:tcW w:w="2160" w:type="dxa"/>
            <w:shd w:val="clear" w:color="auto" w:fill="D6E3BC" w:themeFill="accent3" w:themeFillTint="66"/>
          </w:tcPr>
          <w:p w14:paraId="0A5A43A1" w14:textId="77777777" w:rsidR="00843AD9" w:rsidRDefault="00000000">
            <w:r>
              <w:t>Resourcing and commitment</w:t>
            </w:r>
          </w:p>
        </w:tc>
        <w:tc>
          <w:tcPr>
            <w:tcW w:w="2160" w:type="dxa"/>
          </w:tcPr>
          <w:p w14:paraId="43E13FB9" w14:textId="77777777" w:rsidR="00843AD9" w:rsidRDefault="00000000">
            <w:r>
              <w:t>Partners contribute time, expertise, and/or resources as agreed. There is a shared sense of responsibility.</w:t>
            </w:r>
          </w:p>
        </w:tc>
        <w:tc>
          <w:tcPr>
            <w:tcW w:w="2160" w:type="dxa"/>
          </w:tcPr>
          <w:p w14:paraId="33566A93" w14:textId="77777777" w:rsidR="00843AD9" w:rsidRDefault="00000000">
            <w:r>
              <w:t>Are contributions balanced and sustainable? How do we handle gaps?</w:t>
            </w:r>
          </w:p>
        </w:tc>
        <w:tc>
          <w:tcPr>
            <w:tcW w:w="2160" w:type="dxa"/>
          </w:tcPr>
          <w:p w14:paraId="154353CF" w14:textId="77777777" w:rsidR="00843AD9" w:rsidRDefault="00000000">
            <w:r>
              <w:t>Describe a time resourcing felt fair and one where it caused tension.</w:t>
            </w:r>
          </w:p>
        </w:tc>
      </w:tr>
      <w:tr w:rsidR="00843AD9" w14:paraId="6C90595A" w14:textId="77777777" w:rsidTr="006A517B">
        <w:tc>
          <w:tcPr>
            <w:tcW w:w="2160" w:type="dxa"/>
            <w:shd w:val="clear" w:color="auto" w:fill="D6E3BC" w:themeFill="accent3" w:themeFillTint="66"/>
          </w:tcPr>
          <w:p w14:paraId="4C9B0914" w14:textId="77777777" w:rsidR="00843AD9" w:rsidRDefault="00000000">
            <w:r>
              <w:lastRenderedPageBreak/>
              <w:t>Learning and adaptation</w:t>
            </w:r>
          </w:p>
        </w:tc>
        <w:tc>
          <w:tcPr>
            <w:tcW w:w="2160" w:type="dxa"/>
          </w:tcPr>
          <w:p w14:paraId="72B8120A" w14:textId="77777777" w:rsidR="00843AD9" w:rsidRDefault="00000000">
            <w:r>
              <w:t>The partnership reflects on its progress and adapts its ways of working. Mistakes and uncertainties are openly discussed.</w:t>
            </w:r>
          </w:p>
        </w:tc>
        <w:tc>
          <w:tcPr>
            <w:tcW w:w="2160" w:type="dxa"/>
          </w:tcPr>
          <w:p w14:paraId="1A98F84E" w14:textId="77777777" w:rsidR="00843AD9" w:rsidRDefault="00000000">
            <w:r>
              <w:t>How do we reflect and learn together? Do we adapt based on what we learn?</w:t>
            </w:r>
          </w:p>
        </w:tc>
        <w:tc>
          <w:tcPr>
            <w:tcW w:w="2160" w:type="dxa"/>
          </w:tcPr>
          <w:p w14:paraId="797A86BF" w14:textId="77777777" w:rsidR="00843AD9" w:rsidRDefault="00000000">
            <w:r>
              <w:t>Give an example of productive adaptation and a time we missed a learning opportunity.</w:t>
            </w:r>
          </w:p>
        </w:tc>
      </w:tr>
      <w:tr w:rsidR="00843AD9" w14:paraId="43DA7034" w14:textId="77777777" w:rsidTr="006A517B">
        <w:tc>
          <w:tcPr>
            <w:tcW w:w="2160" w:type="dxa"/>
            <w:shd w:val="clear" w:color="auto" w:fill="D6E3BC" w:themeFill="accent3" w:themeFillTint="66"/>
          </w:tcPr>
          <w:p w14:paraId="78C0B738" w14:textId="55846F5D" w:rsidR="00843AD9" w:rsidRDefault="00F512C1">
            <w:r w:rsidRPr="00F512C1">
              <w:t>Inclusive engagement and voice</w:t>
            </w:r>
          </w:p>
        </w:tc>
        <w:tc>
          <w:tcPr>
            <w:tcW w:w="2160" w:type="dxa"/>
          </w:tcPr>
          <w:p w14:paraId="1441E458" w14:textId="77777777" w:rsidR="00843AD9" w:rsidRDefault="00000000">
            <w:r>
              <w:t>Diverse perspectives are recognised and valued. Power dynamics are acknowledged and addressed.</w:t>
            </w:r>
          </w:p>
        </w:tc>
        <w:tc>
          <w:tcPr>
            <w:tcW w:w="2160" w:type="dxa"/>
          </w:tcPr>
          <w:p w14:paraId="3EE1C754" w14:textId="77777777" w:rsidR="00843AD9" w:rsidRDefault="00000000">
            <w:r>
              <w:t>Whose voices shape the partnership? Are any missing or marginalised?</w:t>
            </w:r>
          </w:p>
        </w:tc>
        <w:tc>
          <w:tcPr>
            <w:tcW w:w="2160" w:type="dxa"/>
          </w:tcPr>
          <w:p w14:paraId="76A8C6AA" w14:textId="77777777" w:rsidR="00843AD9" w:rsidRDefault="00000000">
            <w:r>
              <w:t>Share a moment when inclusion was strong, and one where more could be done.</w:t>
            </w:r>
          </w:p>
        </w:tc>
      </w:tr>
      <w:tr w:rsidR="00843AD9" w14:paraId="54AC72D3" w14:textId="77777777" w:rsidTr="006A517B">
        <w:tc>
          <w:tcPr>
            <w:tcW w:w="2160" w:type="dxa"/>
            <w:shd w:val="clear" w:color="auto" w:fill="D6E3BC" w:themeFill="accent3" w:themeFillTint="66"/>
          </w:tcPr>
          <w:p w14:paraId="2E0F4BE4" w14:textId="77777777" w:rsidR="00843AD9" w:rsidRDefault="00000000">
            <w:r>
              <w:t>Sustainability and shared outcomes</w:t>
            </w:r>
          </w:p>
        </w:tc>
        <w:tc>
          <w:tcPr>
            <w:tcW w:w="2160" w:type="dxa"/>
          </w:tcPr>
          <w:p w14:paraId="1BDF2ADE" w14:textId="77777777" w:rsidR="00843AD9" w:rsidRDefault="00000000">
            <w:r>
              <w:t>The partnership is oriented towards long-term sustainability, balancing present needs with future outcomes for people and planet.</w:t>
            </w:r>
          </w:p>
        </w:tc>
        <w:tc>
          <w:tcPr>
            <w:tcW w:w="2160" w:type="dxa"/>
          </w:tcPr>
          <w:p w14:paraId="5B7C5399" w14:textId="77777777" w:rsidR="00843AD9" w:rsidRDefault="00000000">
            <w:r>
              <w:t>How are we planning for the future? Are environmental and social outcomes both considered?</w:t>
            </w:r>
          </w:p>
        </w:tc>
        <w:tc>
          <w:tcPr>
            <w:tcW w:w="2160" w:type="dxa"/>
          </w:tcPr>
          <w:p w14:paraId="4BA00353" w14:textId="77777777" w:rsidR="00843AD9" w:rsidRDefault="00000000">
            <w:r>
              <w:t>Describe a way the partnership is building for long-term impact, and an area where sustainability needs more focus.</w:t>
            </w:r>
          </w:p>
        </w:tc>
      </w:tr>
    </w:tbl>
    <w:p w14:paraId="292899FD" w14:textId="77777777" w:rsidR="00B24692" w:rsidRDefault="00B24692"/>
    <w:p w14:paraId="6DC0AC47" w14:textId="77777777" w:rsidR="00843AD9" w:rsidRDefault="00000000">
      <w:pPr>
        <w:pStyle w:val="Heading2"/>
      </w:pPr>
      <w:r>
        <w:t>Guidance for use</w:t>
      </w:r>
    </w:p>
    <w:p w14:paraId="68F4CE3F" w14:textId="77777777" w:rsidR="00A64656" w:rsidRDefault="00000000">
      <w:r>
        <w:t xml:space="preserve">This rubric supports open discussion on partnership quality. The examples of good practice are indicative, not exhaustive. Teams can use the prompts to assess their position, identify strengths, and note areas for improvement. Use collaboratively, ideally in-person or online with a facilitator. </w:t>
      </w:r>
    </w:p>
    <w:p w14:paraId="0A433D59" w14:textId="77777777" w:rsidR="00B24692" w:rsidRDefault="00B24692">
      <w:r w:rsidRPr="00B24692">
        <w:t>The examples provided in each dimension are indicative, not exhaustive. Use them to spark ideas and discussion.</w:t>
      </w:r>
      <w:r>
        <w:t xml:space="preserve"> </w:t>
      </w:r>
      <w:r w:rsidRPr="00B24692">
        <w:t>The table can be used in a variety of ways depending on your context:</w:t>
      </w:r>
    </w:p>
    <w:p w14:paraId="469406B5" w14:textId="77777777" w:rsidR="00B24692" w:rsidRDefault="00B24692" w:rsidP="00B24692">
      <w:pPr>
        <w:pStyle w:val="ListParagraph"/>
        <w:numPr>
          <w:ilvl w:val="0"/>
          <w:numId w:val="10"/>
        </w:numPr>
      </w:pPr>
      <w:r w:rsidRPr="00B24692">
        <w:t>As a team discussion tool to reflect on how the partnership is tracking across different dimensions.</w:t>
      </w:r>
      <w:r>
        <w:t xml:space="preserve"> </w:t>
      </w:r>
    </w:p>
    <w:p w14:paraId="3800364A" w14:textId="77777777" w:rsidR="00B24692" w:rsidRDefault="00B24692" w:rsidP="00B24692">
      <w:pPr>
        <w:pStyle w:val="ListParagraph"/>
        <w:numPr>
          <w:ilvl w:val="0"/>
          <w:numId w:val="10"/>
        </w:numPr>
      </w:pPr>
      <w:r w:rsidRPr="00B24692">
        <w:t>As a planning tool when forming new partnerships, to clarify expectations.</w:t>
      </w:r>
      <w:r>
        <w:t xml:space="preserve"> </w:t>
      </w:r>
    </w:p>
    <w:p w14:paraId="692A3065" w14:textId="77777777" w:rsidR="00B24692" w:rsidRDefault="00B24692" w:rsidP="00B24692">
      <w:pPr>
        <w:pStyle w:val="ListParagraph"/>
        <w:numPr>
          <w:ilvl w:val="0"/>
          <w:numId w:val="10"/>
        </w:numPr>
      </w:pPr>
      <w:r w:rsidRPr="00B24692">
        <w:t>As a learning and adaptation prompt during mid-point reviews or after significant milestones.</w:t>
      </w:r>
    </w:p>
    <w:p w14:paraId="3E214842" w14:textId="77777777" w:rsidR="00820E16" w:rsidRDefault="00820E16" w:rsidP="00820E16">
      <w:r w:rsidRPr="00A64656">
        <w:t>Depending on where you are in your project cycle, you may want to engage in a discussion on all eight criteria as a team, exploring how you have or will approach these components or focus on a single criterion and examine it as a separate exercise.</w:t>
      </w:r>
      <w:r>
        <w:t xml:space="preserve"> A traffic light system (green/amber/red) may help </w:t>
      </w:r>
      <w:proofErr w:type="spellStart"/>
      <w:r>
        <w:t>prioritise</w:t>
      </w:r>
      <w:proofErr w:type="spellEnd"/>
      <w:r>
        <w:t xml:space="preserve"> areas for action.</w:t>
      </w:r>
    </w:p>
    <w:p w14:paraId="7ECAA68A" w14:textId="77777777" w:rsidR="00A64656" w:rsidRDefault="00A64656" w:rsidP="00B24692"/>
    <w:p w14:paraId="7B44306F" w14:textId="77777777" w:rsidR="00A64656" w:rsidRDefault="00A64656" w:rsidP="00B24692"/>
    <w:p w14:paraId="15A2B70D" w14:textId="15386D4A" w:rsidR="00B24692" w:rsidRDefault="00B24692" w:rsidP="00B24692">
      <w:r w:rsidRPr="00B24692">
        <w:lastRenderedPageBreak/>
        <w:t xml:space="preserve">Participants can self-assess </w:t>
      </w:r>
      <w:r w:rsidR="00D84720" w:rsidRPr="00B24692">
        <w:t>informally or</w:t>
      </w:r>
      <w:r w:rsidRPr="00B24692">
        <w:t xml:space="preserve"> use traffic light markers to highlight aspects that are strong (green),</w:t>
      </w:r>
      <w:r>
        <w:t xml:space="preserve"> </w:t>
      </w:r>
      <w:r w:rsidRPr="00B24692">
        <w:t>need more attention (amber), or are limiting the partnership’s potential (red). Encourage the group to share examples,</w:t>
      </w:r>
      <w:r>
        <w:t xml:space="preserve"> </w:t>
      </w:r>
      <w:r w:rsidRPr="00B24692">
        <w:t>insights, and any evidence that supports their views.</w:t>
      </w:r>
      <w:r w:rsidRPr="00B24692">
        <w:br/>
      </w:r>
      <w:r w:rsidRPr="00B24692">
        <w:br/>
        <w:t>Facilitation tips:</w:t>
      </w:r>
    </w:p>
    <w:p w14:paraId="41588257" w14:textId="77777777" w:rsidR="00B24692" w:rsidRDefault="00B24692" w:rsidP="00B24692">
      <w:pPr>
        <w:pStyle w:val="ListParagraph"/>
        <w:numPr>
          <w:ilvl w:val="0"/>
          <w:numId w:val="11"/>
        </w:numPr>
      </w:pPr>
      <w:r w:rsidRPr="00B24692">
        <w:t>Ensure all voices are heard—create a safe space for open reflection.</w:t>
      </w:r>
      <w:r>
        <w:t xml:space="preserve"> </w:t>
      </w:r>
    </w:p>
    <w:p w14:paraId="527BAA76" w14:textId="77777777" w:rsidR="00B24692" w:rsidRDefault="00B24692" w:rsidP="00B24692">
      <w:pPr>
        <w:pStyle w:val="ListParagraph"/>
        <w:numPr>
          <w:ilvl w:val="0"/>
          <w:numId w:val="11"/>
        </w:numPr>
      </w:pPr>
      <w:r w:rsidRPr="00B24692">
        <w:t>Use the 'What good might look like' column to prompt shared understanding—not as a rigid standard.</w:t>
      </w:r>
    </w:p>
    <w:p w14:paraId="6D041BE5" w14:textId="4E44EE16" w:rsidR="00B24692" w:rsidRDefault="00B24692" w:rsidP="00B24692">
      <w:pPr>
        <w:pStyle w:val="ListParagraph"/>
        <w:numPr>
          <w:ilvl w:val="0"/>
          <w:numId w:val="11"/>
        </w:numPr>
      </w:pPr>
      <w:r w:rsidRPr="00B24692">
        <w:t>Encourage storytelling and real examples</w:t>
      </w:r>
      <w:r w:rsidR="00D84720">
        <w:t xml:space="preserve">, </w:t>
      </w:r>
      <w:r w:rsidRPr="00B24692">
        <w:t>this helps surface assumptions and build trust.</w:t>
      </w:r>
    </w:p>
    <w:p w14:paraId="05BC2445" w14:textId="77777777" w:rsidR="00B24692" w:rsidRDefault="00B24692" w:rsidP="00B24692">
      <w:pPr>
        <w:pStyle w:val="ListParagraph"/>
        <w:numPr>
          <w:ilvl w:val="0"/>
          <w:numId w:val="11"/>
        </w:numPr>
      </w:pPr>
      <w:r w:rsidRPr="00B24692">
        <w:t>Be mindful that disagreement can be a source of learning—differences in views should be explored respectfully.</w:t>
      </w:r>
    </w:p>
    <w:p w14:paraId="193436B4" w14:textId="77777777" w:rsidR="00B24692" w:rsidRDefault="00B24692" w:rsidP="00B24692">
      <w:pPr>
        <w:pStyle w:val="ListParagraph"/>
        <w:numPr>
          <w:ilvl w:val="0"/>
          <w:numId w:val="11"/>
        </w:numPr>
      </w:pPr>
      <w:r w:rsidRPr="00B24692">
        <w:t>Remind participants that this is a supportive tool to build collective insight, not a per</w:t>
      </w:r>
      <w:r>
        <w:t>formance review.</w:t>
      </w:r>
    </w:p>
    <w:p w14:paraId="795BD62C" w14:textId="77777777" w:rsidR="00B24692" w:rsidRDefault="00B24692" w:rsidP="00B24692">
      <w:pPr>
        <w:pStyle w:val="ListParagraph"/>
        <w:numPr>
          <w:ilvl w:val="0"/>
          <w:numId w:val="11"/>
        </w:numPr>
      </w:pPr>
      <w:r w:rsidRPr="00B24692">
        <w:t xml:space="preserve">Encourage participants to think broadly about each criterion and to consider practices beyond those listed. </w:t>
      </w:r>
    </w:p>
    <w:p w14:paraId="5EA081E9" w14:textId="77777777" w:rsidR="00A64656" w:rsidRDefault="00B24692" w:rsidP="00B24692">
      <w:pPr>
        <w:pStyle w:val="ListParagraph"/>
        <w:numPr>
          <w:ilvl w:val="0"/>
          <w:numId w:val="11"/>
        </w:numPr>
      </w:pPr>
      <w:r w:rsidRPr="00B24692">
        <w:t xml:space="preserve">Use the good practice examples as starting points for discussion, not as definitive answers. </w:t>
      </w:r>
    </w:p>
    <w:p w14:paraId="3C81684B" w14:textId="77777777" w:rsidR="00A64656" w:rsidRDefault="00B24692" w:rsidP="00B24692">
      <w:pPr>
        <w:pStyle w:val="ListParagraph"/>
        <w:numPr>
          <w:ilvl w:val="0"/>
          <w:numId w:val="11"/>
        </w:numPr>
      </w:pPr>
      <w:r w:rsidRPr="00B24692">
        <w:t xml:space="preserve">Foster an environment where diverse ideas and innovative approaches are welcomed. </w:t>
      </w:r>
    </w:p>
    <w:p w14:paraId="2B07505F" w14:textId="77777777" w:rsidR="00A64656" w:rsidRDefault="00B24692" w:rsidP="00B24692">
      <w:pPr>
        <w:pStyle w:val="ListParagraph"/>
        <w:numPr>
          <w:ilvl w:val="0"/>
          <w:numId w:val="11"/>
        </w:numPr>
      </w:pPr>
      <w:r w:rsidRPr="00B24692">
        <w:t xml:space="preserve">Collect feedback and evidence throughout the discussion to inform ongoing improvement and adaptation of practices. </w:t>
      </w:r>
    </w:p>
    <w:p w14:paraId="67389755" w14:textId="649E6B6B" w:rsidR="00B24692" w:rsidRDefault="00B24692" w:rsidP="00A64656">
      <w:r w:rsidRPr="00B24692">
        <w:t xml:space="preserve">By </w:t>
      </w:r>
      <w:r w:rsidR="00A64656" w:rsidRPr="00B24692">
        <w:t>emphasizing</w:t>
      </w:r>
      <w:r w:rsidRPr="00B24692">
        <w:t xml:space="preserve"> </w:t>
      </w:r>
      <w:r w:rsidR="00A64656" w:rsidRPr="00A64656">
        <w:t>the open-ended nature of the discussions, you can encourage a more reflective, dynamic and inclusive approach to place-based engagement and impact</w:t>
      </w:r>
      <w:r w:rsidRPr="00B24692">
        <w:t>.</w:t>
      </w:r>
    </w:p>
    <w:p w14:paraId="3460C9D5" w14:textId="58F130E6" w:rsidR="00843AD9" w:rsidRDefault="00B24692">
      <w:r w:rsidRPr="00B24692">
        <w:br/>
      </w:r>
      <w:r w:rsidR="00A64656" w:rsidRPr="00A64656">
        <w:rPr>
          <w:b/>
          <w:bCs/>
        </w:rPr>
        <w:t>D</w:t>
      </w:r>
      <w:r w:rsidR="00000000" w:rsidRPr="00A64656">
        <w:rPr>
          <w:b/>
          <w:bCs/>
        </w:rPr>
        <w:t>isclaimer:</w:t>
      </w:r>
      <w:r w:rsidR="00000000">
        <w:t xml:space="preserve"> </w:t>
      </w:r>
      <w:r w:rsidR="00D84720" w:rsidRPr="00D84720">
        <w:t>This template is provided as a starting point for reflective discussion. It is intended to support learning and improvement in collaborative work. The material is provided solely for use within one’s own participatory process and should be adapted to fit the specific needs and context of each partnership.</w:t>
      </w:r>
    </w:p>
    <w:sectPr w:rsidR="00843AD9"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E88B" w14:textId="77777777" w:rsidR="00527349" w:rsidRDefault="00527349" w:rsidP="00A64656">
      <w:pPr>
        <w:spacing w:after="0" w:line="240" w:lineRule="auto"/>
      </w:pPr>
      <w:r>
        <w:separator/>
      </w:r>
    </w:p>
  </w:endnote>
  <w:endnote w:type="continuationSeparator" w:id="0">
    <w:p w14:paraId="7971279A" w14:textId="77777777" w:rsidR="00527349" w:rsidRDefault="00527349" w:rsidP="00A6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F7E2" w14:textId="4043A673" w:rsidR="00436F49" w:rsidRDefault="00A64656">
    <w:pPr>
      <w:pStyle w:val="Footer"/>
    </w:pPr>
    <w:r>
      <w:t xml:space="preserve">Will Allen </w:t>
    </w:r>
    <w:r w:rsidR="00436F49">
      <w:t xml:space="preserve">– </w:t>
    </w:r>
    <w:hyperlink r:id="rId1" w:history="1">
      <w:r w:rsidR="00275644" w:rsidRPr="00FD328B">
        <w:rPr>
          <w:rStyle w:val="Hyperlink"/>
        </w:rPr>
        <w:t>willallennz@gmail.com</w:t>
      </w:r>
    </w:hyperlink>
    <w:r w:rsidR="00275644">
      <w:t xml:space="preserve">                                                                                      March 2025</w:t>
    </w:r>
  </w:p>
  <w:p w14:paraId="02354972" w14:textId="1F02248D" w:rsidR="00A64656" w:rsidRDefault="00D84720">
    <w:pPr>
      <w:pStyle w:val="Footer"/>
    </w:pPr>
    <w:r>
      <w:t xml:space="preserve">Download: </w:t>
    </w:r>
    <w:hyperlink r:id="rId2" w:history="1">
      <w:r w:rsidRPr="00FD328B">
        <w:rPr>
          <w:rStyle w:val="Hyperlink"/>
        </w:rPr>
        <w:t>https://learningforsustainability.net/pubs/partnership-rubric-template.docx</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73CF" w14:textId="77777777" w:rsidR="00527349" w:rsidRDefault="00527349" w:rsidP="00A64656">
      <w:pPr>
        <w:spacing w:after="0" w:line="240" w:lineRule="auto"/>
      </w:pPr>
      <w:r>
        <w:separator/>
      </w:r>
    </w:p>
  </w:footnote>
  <w:footnote w:type="continuationSeparator" w:id="0">
    <w:p w14:paraId="2FEA3484" w14:textId="77777777" w:rsidR="00527349" w:rsidRDefault="00527349" w:rsidP="00A64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A094DD9"/>
    <w:multiLevelType w:val="hybridMultilevel"/>
    <w:tmpl w:val="61F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835CA7"/>
    <w:multiLevelType w:val="hybridMultilevel"/>
    <w:tmpl w:val="5FA4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055459">
    <w:abstractNumId w:val="8"/>
  </w:num>
  <w:num w:numId="2" w16cid:durableId="782067874">
    <w:abstractNumId w:val="6"/>
  </w:num>
  <w:num w:numId="3" w16cid:durableId="541330556">
    <w:abstractNumId w:val="5"/>
  </w:num>
  <w:num w:numId="4" w16cid:durableId="1820148223">
    <w:abstractNumId w:val="4"/>
  </w:num>
  <w:num w:numId="5" w16cid:durableId="538400132">
    <w:abstractNumId w:val="7"/>
  </w:num>
  <w:num w:numId="6" w16cid:durableId="638726556">
    <w:abstractNumId w:val="3"/>
  </w:num>
  <w:num w:numId="7" w16cid:durableId="230700902">
    <w:abstractNumId w:val="2"/>
  </w:num>
  <w:num w:numId="8" w16cid:durableId="175848389">
    <w:abstractNumId w:val="1"/>
  </w:num>
  <w:num w:numId="9" w16cid:durableId="2052151831">
    <w:abstractNumId w:val="0"/>
  </w:num>
  <w:num w:numId="10" w16cid:durableId="543716628">
    <w:abstractNumId w:val="9"/>
  </w:num>
  <w:num w:numId="11" w16cid:durableId="1682967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5644"/>
    <w:rsid w:val="0029639D"/>
    <w:rsid w:val="00326F90"/>
    <w:rsid w:val="00436F49"/>
    <w:rsid w:val="00446487"/>
    <w:rsid w:val="00527349"/>
    <w:rsid w:val="006A517B"/>
    <w:rsid w:val="00820E16"/>
    <w:rsid w:val="00843AD9"/>
    <w:rsid w:val="00A64656"/>
    <w:rsid w:val="00AA1D8D"/>
    <w:rsid w:val="00B24692"/>
    <w:rsid w:val="00B47730"/>
    <w:rsid w:val="00CB0664"/>
    <w:rsid w:val="00D84720"/>
    <w:rsid w:val="00F512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826F83"/>
  <w14:defaultImageDpi w14:val="300"/>
  <w15:docId w15:val="{997CFAC7-44F4-42DE-8A81-7977D6C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75644"/>
    <w:rPr>
      <w:color w:val="0000FF" w:themeColor="hyperlink"/>
      <w:u w:val="single"/>
    </w:rPr>
  </w:style>
  <w:style w:type="character" w:styleId="UnresolvedMention">
    <w:name w:val="Unresolved Mention"/>
    <w:basedOn w:val="DefaultParagraphFont"/>
    <w:uiPriority w:val="99"/>
    <w:semiHidden/>
    <w:unhideWhenUsed/>
    <w:rsid w:val="0027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learningforsustainability.net/pubs/partnership-rubric-template.docx" TargetMode="External"/><Relationship Id="rId1" Type="http://schemas.openxmlformats.org/officeDocument/2006/relationships/hyperlink" Target="mailto:willallenn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 Allen</cp:lastModifiedBy>
  <cp:revision>7</cp:revision>
  <dcterms:created xsi:type="dcterms:W3CDTF">2025-06-02T09:48:00Z</dcterms:created>
  <dcterms:modified xsi:type="dcterms:W3CDTF">2025-06-02T10:00:00Z</dcterms:modified>
  <cp:category/>
</cp:coreProperties>
</file>